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7A" w:rsidRPr="00F31984" w:rsidRDefault="00190304" w:rsidP="00FF7141">
      <w:pPr>
        <w:jc w:val="distribute"/>
        <w:rPr>
          <w:rFonts w:ascii="方正小标宋_GBK" w:eastAsia="方正小标宋_GBK"/>
          <w:color w:val="FF0000"/>
          <w:w w:val="73"/>
          <w:sz w:val="80"/>
          <w:szCs w:val="80"/>
        </w:rPr>
      </w:pPr>
      <w:r w:rsidRPr="00F31984">
        <w:rPr>
          <w:rFonts w:ascii="方正小标宋_GBK" w:eastAsia="方正小标宋_GBK" w:hint="eastAsia"/>
          <w:noProof/>
          <w:color w:val="FF0000"/>
          <w:w w:val="73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-316230</wp:posOffset>
                </wp:positionH>
                <wp:positionV relativeFrom="paragraph">
                  <wp:posOffset>848995</wp:posOffset>
                </wp:positionV>
                <wp:extent cx="6238875" cy="9525"/>
                <wp:effectExtent l="19050" t="1905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70DC1A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4.9pt,66.85pt" to="466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" strokecolor="red" strokeweight="2.25pt">
                <v:stroke joinstyle="miter"/>
                <w10:wrap anchorx="margin"/>
              </v:line>
            </w:pict>
          </mc:Fallback>
        </mc:AlternateContent>
      </w:r>
      <w:r w:rsidR="00C22903" w:rsidRPr="00F31984">
        <w:rPr>
          <w:rFonts w:ascii="方正小标宋_GBK" w:eastAsia="方正小标宋_GBK" w:hint="eastAsia"/>
          <w:noProof/>
          <w:color w:val="FF0000"/>
          <w:w w:val="73"/>
          <w:sz w:val="80"/>
          <w:szCs w:val="80"/>
        </w:rPr>
        <w:t>宿迁市职业教育与社</w:t>
      </w:r>
      <w:r w:rsidR="00F31984" w:rsidRPr="00F31984">
        <w:rPr>
          <w:rFonts w:ascii="方正小标宋_GBK" w:eastAsia="方正小标宋_GBK" w:hint="eastAsia"/>
          <w:noProof/>
          <w:color w:val="FF0000"/>
          <w:w w:val="73"/>
          <w:sz w:val="80"/>
          <w:szCs w:val="80"/>
        </w:rPr>
        <w:t>会</w:t>
      </w:r>
      <w:r w:rsidR="00C22903" w:rsidRPr="00F31984">
        <w:rPr>
          <w:rFonts w:ascii="方正小标宋_GBK" w:eastAsia="方正小标宋_GBK" w:hint="eastAsia"/>
          <w:noProof/>
          <w:color w:val="FF0000"/>
          <w:w w:val="73"/>
          <w:sz w:val="80"/>
          <w:szCs w:val="80"/>
        </w:rPr>
        <w:t>教育教研室</w:t>
      </w:r>
    </w:p>
    <w:p w:rsidR="00FF7141" w:rsidRDefault="00FF7141" w:rsidP="00C95591">
      <w:pPr>
        <w:spacing w:line="560" w:lineRule="exact"/>
      </w:pPr>
    </w:p>
    <w:p w:rsidR="005B6056" w:rsidRPr="005B6056" w:rsidRDefault="005B6056" w:rsidP="005B6056">
      <w:pPr>
        <w:widowControl/>
        <w:shd w:val="clear" w:color="auto" w:fill="FFFFFF"/>
        <w:jc w:val="center"/>
        <w:outlineLvl w:val="1"/>
        <w:rPr>
          <w:rFonts w:ascii="黑体" w:eastAsia="黑体" w:hAnsi="黑体" w:cs="宋体"/>
          <w:b/>
          <w:bCs/>
          <w:color w:val="4C4C4C"/>
          <w:kern w:val="0"/>
          <w:sz w:val="44"/>
          <w:szCs w:val="44"/>
        </w:rPr>
      </w:pPr>
      <w:r w:rsidRPr="005B6056">
        <w:rPr>
          <w:rFonts w:ascii="黑体" w:eastAsia="黑体" w:hAnsi="黑体" w:cs="宋体" w:hint="eastAsia"/>
          <w:b/>
          <w:bCs/>
          <w:color w:val="4C4C4C"/>
          <w:kern w:val="0"/>
          <w:sz w:val="44"/>
          <w:szCs w:val="44"/>
        </w:rPr>
        <w:t>关于开展2021年宿迁市职业教育与社会教育优秀论文评选活动的通知</w:t>
      </w:r>
    </w:p>
    <w:p w:rsidR="005B6056" w:rsidRPr="005B6056" w:rsidRDefault="005B6056" w:rsidP="005B605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C4C4C"/>
          <w:kern w:val="0"/>
          <w:szCs w:val="21"/>
        </w:rPr>
      </w:pPr>
      <w:r w:rsidRPr="005B6056">
        <w:rPr>
          <w:rFonts w:ascii="微软雅黑" w:eastAsia="微软雅黑" w:hAnsi="微软雅黑" w:cs="宋体" w:hint="eastAsia"/>
          <w:color w:val="4C4C4C"/>
          <w:kern w:val="0"/>
          <w:szCs w:val="21"/>
        </w:rPr>
        <w:t xml:space="preserve"> 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各县（区）教育局，市直职业院校：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Chars="250" w:firstLine="800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本年度工作计划，为了加快中等职业学校教师的专业成长，提高教师的教学研究水平，总结交流职业教育与社会教育工作经验，经研究，决定组织开展全市2021年职业教育与社会教育优秀论文评选活动。现将有关事项通知如下：</w:t>
      </w:r>
      <w:r w:rsidRPr="005B6056">
        <w:rPr>
          <w:rFonts w:ascii="Calibri" w:eastAsia="仿宋" w:hAnsi="Calibri" w:cs="Calibri"/>
          <w:color w:val="333333"/>
          <w:kern w:val="0"/>
          <w:sz w:val="32"/>
          <w:szCs w:val="32"/>
          <w:shd w:val="clear" w:color="auto" w:fill="F7FDFF"/>
        </w:rPr>
        <w:t> 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黑体" w:eastAsia="黑体" w:hAnsi="黑体" w:cs="宋体"/>
          <w:color w:val="4C4C4C"/>
          <w:kern w:val="0"/>
          <w:szCs w:val="21"/>
        </w:rPr>
      </w:pPr>
      <w:r w:rsidRPr="005B60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一、参评对象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全市从事职业教育与社会教育教学的老师、教科研和管理人员。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黑体" w:eastAsia="黑体" w:hAnsi="黑体" w:cs="宋体"/>
          <w:color w:val="4C4C4C"/>
          <w:kern w:val="0"/>
          <w:szCs w:val="21"/>
        </w:rPr>
      </w:pPr>
      <w:r w:rsidRPr="005B60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二、论文内容范围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职业学校、成人教育学校教师、教学管理人员、教研员等撰写的与学科教学有关的课堂教学策略、因材施教策略、学生学习策略研究；创新精神、实践能力、科学素养培养研究；现代教育技术、教学评价体系应用以及立德树人，</w:t>
      </w:r>
      <w:proofErr w:type="gramStart"/>
      <w:r w:rsidRPr="005B6056">
        <w:rPr>
          <w:rFonts w:ascii="仿宋" w:eastAsia="仿宋" w:hAnsi="仿宋" w:cs="宋体"/>
          <w:color w:val="000000"/>
          <w:kern w:val="0"/>
          <w:sz w:val="32"/>
          <w:szCs w:val="32"/>
        </w:rPr>
        <w:t>职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社</w:t>
      </w:r>
      <w:r w:rsidRPr="005B6056">
        <w:rPr>
          <w:rFonts w:ascii="仿宋" w:eastAsia="仿宋" w:hAnsi="仿宋" w:cs="宋体"/>
          <w:color w:val="000000"/>
          <w:kern w:val="0"/>
          <w:sz w:val="32"/>
          <w:szCs w:val="32"/>
        </w:rPr>
        <w:t>教育</w:t>
      </w:r>
      <w:proofErr w:type="gramEnd"/>
      <w:r w:rsidRPr="005B6056">
        <w:rPr>
          <w:rFonts w:ascii="仿宋" w:eastAsia="仿宋" w:hAnsi="仿宋" w:cs="宋体"/>
          <w:color w:val="000000"/>
          <w:kern w:val="0"/>
          <w:sz w:val="32"/>
          <w:szCs w:val="32"/>
        </w:rPr>
        <w:t>高质量发展举措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等方面论文均可。论文选题要求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</w:t>
      </w:r>
      <w:r w:rsidRPr="005B6056">
        <w:rPr>
          <w:rFonts w:ascii="仿宋" w:eastAsia="仿宋" w:hAnsi="仿宋" w:cs="宋体"/>
          <w:color w:val="000000"/>
          <w:kern w:val="0"/>
          <w:sz w:val="32"/>
          <w:szCs w:val="32"/>
        </w:rPr>
        <w:t>职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社</w:t>
      </w:r>
      <w:r w:rsidRPr="005B6056">
        <w:rPr>
          <w:rFonts w:ascii="仿宋" w:eastAsia="仿宋" w:hAnsi="仿宋" w:cs="宋体"/>
          <w:color w:val="000000"/>
          <w:kern w:val="0"/>
          <w:sz w:val="32"/>
          <w:szCs w:val="32"/>
        </w:rPr>
        <w:t>教育</w:t>
      </w:r>
      <w:proofErr w:type="gramEnd"/>
      <w:r w:rsidRPr="005B6056">
        <w:rPr>
          <w:rFonts w:ascii="仿宋" w:eastAsia="仿宋" w:hAnsi="仿宋" w:cs="宋体"/>
          <w:color w:val="000000"/>
          <w:kern w:val="0"/>
          <w:sz w:val="32"/>
          <w:szCs w:val="32"/>
        </w:rPr>
        <w:t>改革实施方案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为指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南，紧密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结合职社教育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改革和发展的实际，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围绕职社教育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当前的热点或难点问题进行选题。参考选题如下：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1.中职学校“控流”经验做法；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2中职学校班主任工作体验及思考。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3.如何在公共基础课、专业课中融入工匠精神教育内容；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4.如何加强师德师风建设培养筑梦人；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5.新课程理念下优化中职课堂教学方式的实验与研究；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6.中职班级特色文化建设的研究；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7.中华传统美德在中职德育课堂中的体现研究；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8.关注学生生活、开发和利用德育资源的研究；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9.职业学校内部管理体制改革、专业建设、实训基地建设；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10.职业学校师资队伍建设体系、教师专业实践能力培养培训及形成机制；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11.产教融合.校企合作应用型人才培养模式的研究；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12.教学管理、课程和教材建设与课程内容、教学方法改革；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13.课堂教学大赛、技能大赛、创新大赛等研究；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14.完善职业教育和培训体系加大技术技能培训的研究；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15.关注生命成长、建设和谐校园；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16.学生心理健康教育与校园文化建设的研究；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17.学生管理与劳模精神、工匠精神的校园文化建设；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18.职业生涯规划、就业服务体系建设研究；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19.职业院校教学工作诊断与改进的运行机制研究；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20.职业院校教学工作诊断与改进的保障体系研究；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21.现代化专业群、现代化实训基地、智慧校园建设研究；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22.“现代学徒制”人才培养模式的研究；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23.基于网络学习空间的自主、合作、探究式学习方式研究；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24.网络环境下教师信息技术应用能力发展模式及提升策略研究；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25.校本数字资源的建设与应用研究；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26.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微课的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研发及应用模式研究；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27.信息技术环境下的终身学习、泛在学习、自适应学习等新型学习方式的研究；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28.职业教育服务地方经济社会发展的研究；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29.学习型社会建设研究；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30.社会教育培训工程建设研究；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31.构建终身教育体系建设研究；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32.社会教育师资队伍建设研究；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33.关注劳动教育，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课程思政等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研究；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34.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职社教育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服务“四化”集成同步改革研究。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70"/>
        <w:jc w:val="left"/>
        <w:rPr>
          <w:rFonts w:ascii="黑体" w:eastAsia="黑体" w:hAnsi="黑体" w:cs="宋体"/>
          <w:color w:val="4C4C4C"/>
          <w:kern w:val="0"/>
          <w:szCs w:val="21"/>
        </w:rPr>
      </w:pPr>
      <w:r w:rsidRPr="005B60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三、文体要求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585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参评论文必须是自己的教学经验或研究成果，论文体裁可以为教育科研论文、调查报告、教育教学案例、教育教学随笔、经验总结及教育科研成果专题等。论文选题要得当，内容充实、论据充分、论证合理、结论可信；理念创新、观点鲜明、重点突出、特色明显，重在科学性、独创性；要充分反映理论前沿、突出的现实问题、体现理性思考，重在实用性、可操作性；要注重“科研”含量，避免空泛的缺乏应用性和指导性的理论阐述。参评论文应有100-300字的内容摘要和3－5个关键词，字数在3000字至4000字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黑体" w:eastAsia="黑体" w:hAnsi="黑体" w:cs="宋体"/>
          <w:color w:val="4C4C4C"/>
          <w:kern w:val="0"/>
          <w:szCs w:val="21"/>
        </w:rPr>
      </w:pPr>
      <w:r w:rsidRPr="005B60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四、奖项设置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按照上报论文的数量和质量，确定60%左右的获奖面，其中一等奖10%左右，二等奖20%左右，三等奖30%左右。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市职社教研室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将组织专家对参评论文进行评选，并向获奖作者颁发获奖证书。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黑体" w:eastAsia="黑体" w:hAnsi="黑体" w:cs="宋体"/>
          <w:color w:val="4C4C4C"/>
          <w:kern w:val="0"/>
          <w:szCs w:val="21"/>
        </w:rPr>
      </w:pPr>
      <w:r w:rsidRPr="005B60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五、上报要求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各单位要广泛宣传发动，积极组织开展论文撰写和选拔推荐活动。根据择优的原则，经县（区）初评后上报，各县（区）上报的成人校教师论文不超过10篇，四星级职业学校每校不超过15篇，三星级职业学校不超过10篇。每人限报1篇。以个人名义署名不超过2人。各校要对本校上报的论文进行审核，确认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为抄袭者不得上报。</w:t>
      </w:r>
      <w:r w:rsidRPr="005B60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特别强调：一旦在评审中发现参评论文中有严重抄袭和剽窃现象的，将取消参评资格，并通报批评。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2．论文上报要加封面，在封面上标出论文题目、作者姓名以及工作单位；</w:t>
      </w:r>
      <w:r w:rsidRPr="005B60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正文内不得出现作者姓名、作者单位或与作者有关的提示性信息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。论文统一用A4纸打印，每人上交一份（题目用二号华文中宋，正文和其它文字一律用三号仿宋字体，参考文献、注释用小四号宋体）。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5B605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报时各县（区）、市直职业学校要将《2021年宿迁市职业、成人学校教师参评论文汇总表》（见附件）与电子文档一并上报。填表前请详细阅读表下说明，并用excel打印。汇总表（盖章），论文纸质稿（纸质稿编号要与汇总表编号一致）于2021年11月30日前报送至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市职社教研室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王艳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leftChars="304" w:left="798" w:hangingChars="50" w:hanging="1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地址：宿迁市宿城区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太湖路</w:t>
      </w:r>
      <w:proofErr w:type="gramEnd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261号  宿迁市教育局807室  电话：0527-84389680   </w:t>
      </w:r>
      <w:hyperlink r:id="rId7" w:history="1">
        <w:r w:rsidRPr="005B6056">
          <w:rPr>
            <w:rFonts w:ascii="仿宋" w:eastAsia="仿宋" w:hAnsi="仿宋" w:cs="宋体" w:hint="eastAsia"/>
            <w:kern w:val="0"/>
            <w:sz w:val="32"/>
            <w:szCs w:val="32"/>
          </w:rPr>
          <w:t>邮箱：37200725@qq.com</w:t>
        </w:r>
      </w:hyperlink>
      <w:r w:rsidRPr="005B605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宋体"/>
          <w:color w:val="4C4C4C"/>
          <w:kern w:val="0"/>
          <w:szCs w:val="21"/>
        </w:rPr>
      </w:pPr>
      <w:bookmarkStart w:id="0" w:name="_GoBack"/>
      <w:bookmarkEnd w:id="0"/>
    </w:p>
    <w:p w:rsidR="005B6056" w:rsidRPr="005B6056" w:rsidRDefault="005B6056" w:rsidP="005B6056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附件：2021年宿迁市职业教育与社会教育参评论文汇总表</w:t>
      </w:r>
    </w:p>
    <w:p w:rsidR="005B6056" w:rsidRPr="005B6056" w:rsidRDefault="005B6056" w:rsidP="005B6056">
      <w:pPr>
        <w:widowControl/>
        <w:shd w:val="clear" w:color="auto" w:fill="FFFFFF"/>
        <w:spacing w:line="495" w:lineRule="atLeast"/>
        <w:ind w:firstLine="420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:rsidR="005B6056" w:rsidRPr="005B6056" w:rsidRDefault="005B6056" w:rsidP="005B6056">
      <w:pPr>
        <w:widowControl/>
        <w:shd w:val="clear" w:color="auto" w:fill="FFFFFF"/>
        <w:spacing w:line="495" w:lineRule="atLeast"/>
        <w:ind w:right="585" w:firstLine="300"/>
        <w:jc w:val="righ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宿迁</w:t>
      </w:r>
      <w:proofErr w:type="gramStart"/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市职社教研室</w:t>
      </w:r>
      <w:proofErr w:type="gramEnd"/>
      <w:r w:rsidRPr="005B6056">
        <w:rPr>
          <w:rFonts w:ascii="Calibri" w:eastAsia="仿宋" w:hAnsi="Calibri" w:cs="Calibri"/>
          <w:color w:val="000000"/>
          <w:kern w:val="0"/>
          <w:sz w:val="32"/>
          <w:szCs w:val="32"/>
        </w:rPr>
        <w:t>   </w:t>
      </w:r>
    </w:p>
    <w:p w:rsidR="005B6056" w:rsidRPr="005B6056" w:rsidRDefault="005B6056" w:rsidP="005B6056">
      <w:pPr>
        <w:widowControl/>
        <w:shd w:val="clear" w:color="auto" w:fill="FFFFFF"/>
        <w:spacing w:line="495" w:lineRule="atLeast"/>
        <w:ind w:right="420" w:firstLine="5115"/>
        <w:jc w:val="left"/>
        <w:rPr>
          <w:rFonts w:ascii="仿宋" w:eastAsia="仿宋" w:hAnsi="仿宋" w:cs="宋体"/>
          <w:color w:val="4C4C4C"/>
          <w:kern w:val="0"/>
          <w:szCs w:val="21"/>
        </w:rPr>
      </w:pPr>
      <w:r w:rsidRPr="005B60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2021年10月11日</w:t>
      </w:r>
    </w:p>
    <w:p w:rsidR="005B6056" w:rsidRPr="005B6056" w:rsidRDefault="005B6056" w:rsidP="005B6056">
      <w:pPr>
        <w:widowControl/>
        <w:shd w:val="clear" w:color="auto" w:fill="FFFFFF"/>
        <w:spacing w:line="435" w:lineRule="atLeast"/>
        <w:ind w:right="420" w:firstLin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5B605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B6056" w:rsidRPr="005B6056" w:rsidRDefault="005B6056" w:rsidP="005B6056">
      <w:pPr>
        <w:widowControl/>
        <w:shd w:val="clear" w:color="auto" w:fill="FFFFFF"/>
        <w:spacing w:line="435" w:lineRule="atLeast"/>
        <w:ind w:right="420" w:firstLin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B6056" w:rsidRPr="005B6056" w:rsidRDefault="005B6056" w:rsidP="005B6056">
      <w:pPr>
        <w:widowControl/>
        <w:shd w:val="clear" w:color="auto" w:fill="FFFFFF"/>
        <w:spacing w:line="435" w:lineRule="atLeast"/>
        <w:ind w:right="420" w:firstLin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B6056" w:rsidRPr="005B6056" w:rsidRDefault="005B6056" w:rsidP="005B6056">
      <w:pPr>
        <w:widowControl/>
        <w:shd w:val="clear" w:color="auto" w:fill="FFFFFF"/>
        <w:spacing w:line="435" w:lineRule="atLeast"/>
        <w:ind w:right="420" w:firstLin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B6056" w:rsidRPr="005B6056" w:rsidRDefault="005B6056" w:rsidP="005B6056">
      <w:pPr>
        <w:widowControl/>
        <w:shd w:val="clear" w:color="auto" w:fill="FFFFFF"/>
        <w:spacing w:line="435" w:lineRule="atLeast"/>
        <w:ind w:right="420" w:firstLin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B6056" w:rsidRPr="005B6056" w:rsidRDefault="005B6056" w:rsidP="005B6056">
      <w:pPr>
        <w:widowControl/>
        <w:shd w:val="clear" w:color="auto" w:fill="FFFFFF"/>
        <w:spacing w:line="435" w:lineRule="atLeast"/>
        <w:ind w:right="420" w:firstLine="300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5B6056" w:rsidRPr="005B6056" w:rsidRDefault="005B6056" w:rsidP="005B6056">
      <w:pPr>
        <w:widowControl/>
        <w:shd w:val="clear" w:color="auto" w:fill="FFFFFF"/>
        <w:spacing w:line="405" w:lineRule="atLeast"/>
        <w:ind w:firstLineChars="150" w:firstLine="540"/>
        <w:jc w:val="left"/>
        <w:rPr>
          <w:rFonts w:ascii="微软雅黑" w:eastAsia="微软雅黑" w:hAnsi="微软雅黑" w:cs="宋体"/>
          <w:color w:val="4C4C4C"/>
          <w:kern w:val="0"/>
          <w:szCs w:val="21"/>
        </w:rPr>
      </w:pPr>
      <w:r w:rsidRPr="005B6056">
        <w:rPr>
          <w:rFonts w:ascii="方正小标宋_GBK" w:eastAsia="方正小标宋_GBK" w:hAnsi="Calibri" w:cs="宋体" w:hint="eastAsia"/>
          <w:color w:val="000000"/>
          <w:kern w:val="0"/>
          <w:sz w:val="36"/>
          <w:szCs w:val="36"/>
        </w:rPr>
        <w:t>2021年宿迁市职业教育与社会教育参评论文汇总表</w:t>
      </w:r>
    </w:p>
    <w:p w:rsidR="005B6056" w:rsidRPr="005B6056" w:rsidRDefault="005B6056" w:rsidP="005B6056">
      <w:pPr>
        <w:widowControl/>
        <w:shd w:val="clear" w:color="auto" w:fill="FFFFFF"/>
        <w:spacing w:line="405" w:lineRule="atLeast"/>
        <w:ind w:firstLine="300"/>
        <w:jc w:val="center"/>
        <w:rPr>
          <w:rFonts w:ascii="微软雅黑" w:eastAsia="微软雅黑" w:hAnsi="微软雅黑" w:cs="宋体"/>
          <w:color w:val="4C4C4C"/>
          <w:kern w:val="0"/>
          <w:szCs w:val="21"/>
        </w:rPr>
      </w:pPr>
      <w:r w:rsidRPr="005B605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B6056" w:rsidRPr="005B6056" w:rsidRDefault="005B6056" w:rsidP="005B6056">
      <w:pPr>
        <w:widowControl/>
        <w:shd w:val="clear" w:color="auto" w:fill="FFFFFF"/>
        <w:spacing w:line="405" w:lineRule="atLeast"/>
        <w:ind w:left="135" w:firstLine="300"/>
        <w:jc w:val="left"/>
        <w:rPr>
          <w:rFonts w:ascii="微软雅黑" w:eastAsia="微软雅黑" w:hAnsi="微软雅黑" w:cs="宋体"/>
          <w:color w:val="4C4C4C"/>
          <w:kern w:val="0"/>
          <w:szCs w:val="21"/>
        </w:rPr>
      </w:pP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单位名称（公章）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         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 xml:space="preserve"> 填表人：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u w:val="single"/>
        </w:rPr>
        <w:t>        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  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手机：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u w:val="single"/>
        </w:rPr>
        <w:t>          </w:t>
      </w:r>
    </w:p>
    <w:tbl>
      <w:tblPr>
        <w:tblW w:w="99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243"/>
        <w:gridCol w:w="1634"/>
        <w:gridCol w:w="3472"/>
        <w:gridCol w:w="1692"/>
        <w:gridCol w:w="989"/>
      </w:tblGrid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ind w:left="13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编号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ind w:left="13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ind w:left="13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论文标题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ind w:left="13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ind w:left="13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论文取向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ind w:left="135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备注</w:t>
            </w:r>
          </w:p>
        </w:tc>
      </w:tr>
      <w:tr w:rsidR="005B6056" w:rsidRPr="005B6056" w:rsidTr="00063B91">
        <w:trPr>
          <w:trHeight w:val="930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例：</w:t>
            </w:r>
          </w:p>
          <w:p w:rsidR="005B6056" w:rsidRPr="005B6056" w:rsidRDefault="005B6056" w:rsidP="005B6056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xxx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spellStart"/>
            <w:r w:rsidRPr="005B6056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xxxxxx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江苏省沭阳中等专业学校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B6056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B6056" w:rsidRPr="005B6056" w:rsidTr="00063B91">
        <w:trPr>
          <w:trHeight w:val="615"/>
          <w:tblCellSpacing w:w="0" w:type="dxa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6056" w:rsidRPr="005B6056" w:rsidRDefault="005B6056" w:rsidP="005B60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5B6056" w:rsidRPr="005B6056" w:rsidRDefault="005B6056" w:rsidP="005B6056">
      <w:pPr>
        <w:widowControl/>
        <w:shd w:val="clear" w:color="auto" w:fill="FFFFFF"/>
        <w:spacing w:line="525" w:lineRule="atLeast"/>
        <w:ind w:firstLine="555"/>
        <w:jc w:val="left"/>
        <w:rPr>
          <w:rFonts w:ascii="微软雅黑" w:eastAsia="微软雅黑" w:hAnsi="微软雅黑" w:cs="宋体"/>
          <w:color w:val="4C4C4C"/>
          <w:kern w:val="0"/>
          <w:szCs w:val="21"/>
        </w:rPr>
      </w:pP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说明：1.“论文取向”</w:t>
      </w:r>
      <w:proofErr w:type="gramStart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一栏请参照</w:t>
      </w:r>
      <w:proofErr w:type="gramEnd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通知“二论文内容范围中给出的20个选题”填写题号；2.报送论文时，论文汇总</w:t>
      </w:r>
      <w:proofErr w:type="gramStart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表电子稿</w:t>
      </w:r>
      <w:proofErr w:type="gramEnd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与论文纸质文稿摆放</w:t>
      </w:r>
      <w:proofErr w:type="gramStart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顺序及论文稿</w:t>
      </w:r>
      <w:proofErr w:type="gramEnd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编号请保持一致（论文稿编号由县区、</w:t>
      </w:r>
      <w:proofErr w:type="gramStart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市直学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lastRenderedPageBreak/>
        <w:t>校</w:t>
      </w:r>
      <w:proofErr w:type="gramEnd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汇总后标在论文纸质</w:t>
      </w:r>
      <w:proofErr w:type="gramStart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稿最后</w:t>
      </w:r>
      <w:proofErr w:type="gramEnd"/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一页背面下方）；3.论文学科、姓名、单位及题目须安排专人校对，确保准确无误，如不符合要求，则退回重报；4.请用</w:t>
      </w:r>
      <w:r w:rsidRPr="005B6056">
        <w:rPr>
          <w:rFonts w:ascii="仿宋_GB2312" w:eastAsia="仿宋_GB2312" w:hAnsi="微软雅黑" w:cs="宋体" w:hint="eastAsia"/>
          <w:b/>
          <w:bCs/>
          <w:color w:val="000000"/>
          <w:kern w:val="0"/>
          <w:sz w:val="29"/>
          <w:szCs w:val="29"/>
        </w:rPr>
        <w:t>excel</w:t>
      </w:r>
      <w:r w:rsidRPr="005B6056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电子表格制表。</w:t>
      </w:r>
    </w:p>
    <w:p w:rsidR="005B6056" w:rsidRPr="005B6056" w:rsidRDefault="005B6056" w:rsidP="005B6056">
      <w:pPr>
        <w:rPr>
          <w:rFonts w:ascii="Calibri" w:eastAsia="宋体" w:hAnsi="Calibri" w:cs="Times New Roman"/>
        </w:rPr>
      </w:pPr>
    </w:p>
    <w:p w:rsidR="00FF7141" w:rsidRPr="005B6056" w:rsidRDefault="00FF7141" w:rsidP="00D16EA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148F2" w:rsidRDefault="00F148F2" w:rsidP="00C95591">
      <w:pPr>
        <w:spacing w:line="560" w:lineRule="exact"/>
      </w:pPr>
    </w:p>
    <w:p w:rsidR="00F148F2" w:rsidRDefault="00F148F2" w:rsidP="00C95591">
      <w:pPr>
        <w:spacing w:line="560" w:lineRule="exact"/>
      </w:pPr>
    </w:p>
    <w:p w:rsidR="00F148F2" w:rsidRPr="00E00695" w:rsidRDefault="00F148F2" w:rsidP="00C95591">
      <w:pPr>
        <w:spacing w:line="560" w:lineRule="exact"/>
      </w:pPr>
    </w:p>
    <w:sectPr w:rsidR="00F148F2" w:rsidRPr="00E00695" w:rsidSect="00C47B1B">
      <w:footerReference w:type="default" r:id="rId8"/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2A" w:rsidRDefault="00FF722A" w:rsidP="002B0596">
      <w:r>
        <w:separator/>
      </w:r>
    </w:p>
  </w:endnote>
  <w:endnote w:type="continuationSeparator" w:id="0">
    <w:p w:rsidR="00FF722A" w:rsidRDefault="00FF722A" w:rsidP="002B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768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0596" w:rsidRPr="002B0596" w:rsidRDefault="00E006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 w:rsidRPr="002B05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05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05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056" w:rsidRPr="005B605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2B0596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2B0596" w:rsidRDefault="002B05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2A" w:rsidRDefault="00FF722A" w:rsidP="002B0596">
      <w:r>
        <w:separator/>
      </w:r>
    </w:p>
  </w:footnote>
  <w:footnote w:type="continuationSeparator" w:id="0">
    <w:p w:rsidR="00FF722A" w:rsidRDefault="00FF722A" w:rsidP="002B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41"/>
    <w:rsid w:val="000E404A"/>
    <w:rsid w:val="00137E4D"/>
    <w:rsid w:val="00190304"/>
    <w:rsid w:val="00244FD5"/>
    <w:rsid w:val="002468E0"/>
    <w:rsid w:val="002B0596"/>
    <w:rsid w:val="00316B7A"/>
    <w:rsid w:val="004C3E8C"/>
    <w:rsid w:val="005044A1"/>
    <w:rsid w:val="005B6056"/>
    <w:rsid w:val="007D3B84"/>
    <w:rsid w:val="00805F9B"/>
    <w:rsid w:val="00837CB1"/>
    <w:rsid w:val="00A6545C"/>
    <w:rsid w:val="00AB0169"/>
    <w:rsid w:val="00C010C9"/>
    <w:rsid w:val="00C22903"/>
    <w:rsid w:val="00C47B1B"/>
    <w:rsid w:val="00C87C19"/>
    <w:rsid w:val="00C95591"/>
    <w:rsid w:val="00D16EA8"/>
    <w:rsid w:val="00D94273"/>
    <w:rsid w:val="00E00695"/>
    <w:rsid w:val="00E844AC"/>
    <w:rsid w:val="00F148F2"/>
    <w:rsid w:val="00F31984"/>
    <w:rsid w:val="00FF7141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7038;&#31665;&#65306;37200725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8615850902666</dc:creator>
  <cp:keywords/>
  <dc:description/>
  <cp:lastModifiedBy>WY</cp:lastModifiedBy>
  <cp:revision>4</cp:revision>
  <dcterms:created xsi:type="dcterms:W3CDTF">2021-04-20T03:31:00Z</dcterms:created>
  <dcterms:modified xsi:type="dcterms:W3CDTF">2021-10-11T07:19:00Z</dcterms:modified>
</cp:coreProperties>
</file>